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2022 28 vom 18. August 2022</w:t>
      </w:r>
    </w:p>
    <w:p>
      <w:r>
        <w:t>GR Gerichte, 2022-08-18, DE</w:t>
      </w:r>
    </w:p>
    <w:p>
      <w:r>
        <w:rPr>
          <w:b/>
        </w:rPr>
        <w:t xml:space="preserve">Quelle: </w:t>
      </w:r>
      <w:r>
        <w:t>https://mcp.opencaselaw.ch/entscheid/gr_gerichte_KSK 2022 28</w:t>
      </w:r>
    </w:p>
    <w:p>
      <w:r>
        <w:t>FR: GR_GERICHTE KSK 2022 28 du 18 août 2022</w:t>
      </w:r>
    </w:p>
    <w:p>
      <w:r>
        <w:t>IT: GR_GERICHTE KSK 2022 28 del 18 agosto 2022</w:t>
      </w:r>
    </w:p>
    <w:p>
      <w:pPr>
        <w:pStyle w:val="Heading2"/>
      </w:pPr>
      <w:r>
        <w:t>Regeste</w:t>
      </w:r>
    </w:p>
    <w:p>
      <w:r>
        <w:t>Pfändungsvollzug | Aufsicht Beschwerde (17 Abs. 1 SchKG)</w:t>
      </w:r>
    </w:p>
    <w:p>
      <w:pPr>
        <w:pStyle w:val="Heading2"/>
      </w:pPr>
      <w:r>
        <w:t>Erwägungen</w:t>
      </w:r>
    </w:p>
    <w:p>
      <w:r>
        <w:rPr>
          <w:b/>
        </w:rPr>
        <w:t>E. 4</w:t>
      </w:r>
    </w:p>
    <w:p>
      <w:r>
        <w:t>/ 5 Anwesenheit des Schuldners anlässlich des Pfändungsvollzugs, löst keine Be- schwerdefrist mit Bezug auf diesen Vollstreckungsakt aus (Georg Zondler, in: Kren Kostkiewicz/Vock [Hrsg.], Kommentar zum Bundesgesetz über Schuldbetreibung und Konkurs, 4. Aufl., Zürich 2017, N 4 zu Art. 114 SchKG). 1.4. Die vorliegende Beschwerde wurde am 13. Juni 2022 zuhanden des Regi- onalgerichts Viamala der Schweizerischen Post übergeben. Das Regionalgericht Viamala leitete sie am Tag darauf gemäss Art. 32 Abs. 2 SchKG (zu dessen An- wendbarkeit bei richtigerweise an die Aufsichtsbehörde zu richtenden Eingaben vgl. BGer 5A_240/2019 v. 4.9.2019 E. 3.4.5) ans Kantonsgericht als zuständiger Aufsichtsbehörde weiter (Art. 13 EGzSchKG [BR 220.000]; Schuldbetreibungs- und Konkurskammer Art. 8 Abs. 1 KGV [BR 173.100]). Die Pfändungsurkunde des Betreibungsamts Plessur erging am 4. Juli 2022 und wurde A._____ am 6. Juli 2022 am Postschalter zugestellt. Da zum Zeitpunkt der Beschwerdeerhebung so- mit noch keine Pfändungsurkunde vorlag, lief – auch hinsichtlich des Vollstre- ckungsaktes der Pfändung – keine Beschwerdefrist. Auch das vom Betreibungs- amt Viamala erstellte Pfändungsprotokoll war im Zeitpunkt der Beschwerdeerhe- bung weder dem Beschwerdeführer noch dem Betreibungsamt Plessur zugestellt worden (BA act. 10; act. B.7 [KSK 22 28]). Die vorliegende Beschwerde erfolgte daher verfrüht, weshalb auf sie nicht einzutreten ist. 1.5. Nur am Rande sei darauf hingewiesen, dass der Beschwerdeführer nach Erhalt der Pfändungsurkunde fristgerecht eine weitere betreibungsrechtliche Be- schwerde gegen den Pfändungsvollzug sowie dannzumal auch gegen die Pfän- dungsurkunde erhob, auf welche eingetreten wird (KSK 22 37). 2. Das Beschwerdeverfahren vor der kantonalen Aufsichtsbehörde ist kosten- los; Parteientschädigungen dürfen in diesem Verfahren nicht zugesprochen wer- den (Art. 20a Abs. 2 Ziff. 5 SchKG und Art. 61 f. GebV SchKG [SR 281.35]). Eine Kostenauferlegung wegen bös- oder mutwilliger Prozessführung oder die Andro- hung einer Busse für künftige bös- oder mutwilliger Beschwerdeerhebung rechtfer- tigt sich vorliegend nicht. 3. Der vorliegende Entscheid ergeht in einzelrichterlicher Kompetenz, da die Beschwerde offensichtlich unzulässig ist (Art. 18 Abs. 3 GOG [BR 173.000]).</w:t>
      </w:r>
    </w:p>
    <w:p>
      <w:r>
        <w:rPr>
          <w:b/>
        </w:rPr>
        <w:t>E. 5</w:t>
      </w:r>
    </w:p>
    <w:p>
      <w:r>
        <w: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